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>УКРАЇНА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МЕНСЬКА МІСЬКА РАДА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Менського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Чернігівської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</w:t>
      </w:r>
      <w:proofErr w:type="spellStart"/>
      <w:r w:rsidRPr="005776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двадцять</w:t>
      </w:r>
      <w:proofErr w:type="spellEnd"/>
      <w:r w:rsidRPr="005776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776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четверта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сесія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сьомого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скликання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)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0441A" w:rsidRPr="00AE69DA" w:rsidRDefault="0060441A" w:rsidP="0060441A">
      <w:pPr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b/>
          <w:bCs/>
          <w:spacing w:val="60"/>
          <w:sz w:val="28"/>
          <w:szCs w:val="28"/>
          <w:lang w:val="ru-RU" w:eastAsia="ru-RU"/>
        </w:rPr>
        <w:t>РІШЕННЯ</w:t>
      </w:r>
    </w:p>
    <w:p w:rsidR="0060441A" w:rsidRPr="00AE69DA" w:rsidRDefault="00B358F1" w:rsidP="006044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17</w:t>
      </w:r>
      <w:r w:rsidR="006044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0441A">
        <w:rPr>
          <w:rFonts w:ascii="Times New Roman" w:eastAsia="Times New Roman" w:hAnsi="Times New Roman"/>
          <w:sz w:val="28"/>
          <w:szCs w:val="28"/>
          <w:lang w:val="ru-RU" w:eastAsia="ru-RU"/>
        </w:rPr>
        <w:t>грудня</w:t>
      </w:r>
      <w:proofErr w:type="spellEnd"/>
      <w:r w:rsidR="006044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441A"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>201</w:t>
      </w:r>
      <w:r w:rsidR="0060441A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="0060441A"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року</w:t>
      </w:r>
      <w:r w:rsidR="006044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№</w:t>
      </w:r>
      <w:r w:rsidR="002E7E51">
        <w:rPr>
          <w:rFonts w:ascii="Times New Roman" w:eastAsia="Times New Roman" w:hAnsi="Times New Roman"/>
          <w:sz w:val="28"/>
          <w:szCs w:val="28"/>
          <w:lang w:val="ru-RU" w:eastAsia="ru-RU"/>
        </w:rPr>
        <w:t>479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60441A" w:rsidRPr="001A054B" w:rsidRDefault="0060441A" w:rsidP="0060441A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AE69DA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затвердження 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>організації харчування дітей</w:t>
      </w:r>
      <w:r w:rsidR="00B358F1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>в закладах дошкільної освіти</w:t>
      </w:r>
      <w:r w:rsidR="00B358F1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Менської міської ради 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>на 201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>9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>ік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</w:p>
    <w:p w:rsidR="0060441A" w:rsidRPr="00AE69DA" w:rsidRDefault="0060441A" w:rsidP="0060441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0441A" w:rsidRDefault="0060441A" w:rsidP="00604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E69DA">
        <w:rPr>
          <w:rFonts w:ascii="Times New Roman" w:hAnsi="Times New Roman"/>
          <w:sz w:val="28"/>
          <w:szCs w:val="28"/>
          <w:lang w:val="ru-RU" w:eastAsia="ru-RU"/>
        </w:rPr>
        <w:tab/>
      </w:r>
      <w:r w:rsidRPr="008B3BDC">
        <w:rPr>
          <w:rFonts w:ascii="Times New Roman" w:eastAsia="Batang" w:hAnsi="Times New Roman"/>
          <w:sz w:val="28"/>
          <w:szCs w:val="28"/>
          <w:lang w:eastAsia="ru-RU"/>
        </w:rPr>
        <w:t xml:space="preserve">Відповідно до Законів України «Про освіту», «Про дошкільну освіту», «Про охорону дитинства», «Про державну допомогу сім’ям з дітьми»,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«Про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областях», </w:t>
      </w:r>
      <w:r w:rsidRPr="008B3BDC">
        <w:rPr>
          <w:rFonts w:ascii="Times New Roman" w:eastAsia="Batang" w:hAnsi="Times New Roman"/>
          <w:sz w:val="28"/>
          <w:szCs w:val="28"/>
          <w:lang w:eastAsia="ru-RU"/>
        </w:rPr>
        <w:t xml:space="preserve">Постанов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18.01.2016 р. №16 «Про внесення змін до Порядку надання послуг з харчування дітей у дошкільних, учнів у </w:t>
      </w:r>
      <w:r w:rsidRPr="008B3BDC">
        <w:rPr>
          <w:rFonts w:ascii="Times New Roman" w:eastAsia="Batang" w:hAnsi="Times New Roman"/>
          <w:spacing w:val="-1"/>
          <w:sz w:val="28"/>
          <w:szCs w:val="28"/>
          <w:lang w:eastAsia="ru-RU"/>
        </w:rPr>
        <w:t xml:space="preserve">загальноосвітніх та професійно-технічних закладах, операції з надання яких </w:t>
      </w:r>
      <w:r w:rsidRPr="008B3BDC">
        <w:rPr>
          <w:rFonts w:ascii="Times New Roman" w:eastAsia="Batang" w:hAnsi="Times New Roman"/>
          <w:sz w:val="28"/>
          <w:szCs w:val="28"/>
          <w:lang w:eastAsia="ru-RU"/>
        </w:rPr>
        <w:t xml:space="preserve">звільняються від обкладення податком на додану вартість», від 22.11.2004 № 1591 «Про затвердження норм харчування у навчальних та оздоровчих закладах», </w:t>
      </w:r>
      <w:r w:rsidRPr="008B3BDC"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>відповідно до Закону України</w:t>
      </w:r>
      <w:r w:rsidRPr="00AE69DA"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> </w:t>
      </w:r>
      <w:r w:rsidRPr="008B3BDC"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 xml:space="preserve"> «Про внесення змін до деяких законодавчих актів України» та з метою збереження</w:t>
      </w:r>
      <w:r w:rsidRPr="00AE69DA"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> </w:t>
      </w:r>
      <w:r w:rsidRPr="008B3BDC"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 xml:space="preserve"> здоров’я дітей та забезпечення повноцінного і раціонального харчування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>керуючись п.</w:t>
      </w:r>
      <w:r>
        <w:rPr>
          <w:rFonts w:ascii="Times New Roman" w:eastAsia="Batang" w:hAnsi="Times New Roman"/>
          <w:sz w:val="28"/>
          <w:szCs w:val="28"/>
          <w:lang w:eastAsia="ru-RU"/>
        </w:rPr>
        <w:t>22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 xml:space="preserve"> ст.</w:t>
      </w:r>
      <w:r>
        <w:rPr>
          <w:rFonts w:ascii="Times New Roman" w:eastAsia="Batang" w:hAnsi="Times New Roman"/>
          <w:sz w:val="28"/>
          <w:szCs w:val="28"/>
          <w:lang w:eastAsia="ru-RU"/>
        </w:rPr>
        <w:t>26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, Менська міська  рада </w:t>
      </w:r>
    </w:p>
    <w:p w:rsidR="0060441A" w:rsidRDefault="0060441A" w:rsidP="00604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0441A" w:rsidRPr="00E24525" w:rsidRDefault="0060441A" w:rsidP="00604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24525"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ВИРІШИЛА:</w:t>
      </w:r>
    </w:p>
    <w:p w:rsidR="0060441A" w:rsidRDefault="0060441A" w:rsidP="006044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Затвердити Програму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організації харчування дітей в закладах дошкільної освіти Менської міської ради 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9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 рік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згідно додатку до даного рішення, що додається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60441A" w:rsidRPr="00E24525" w:rsidRDefault="0060441A" w:rsidP="006044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>Відділу освіти Менської міської ради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</w:t>
      </w: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>абезпечити організ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оване</w:t>
      </w: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 xml:space="preserve"> виконання заходів Програми.</w:t>
      </w:r>
    </w:p>
    <w:p w:rsidR="0060441A" w:rsidRPr="00E24525" w:rsidRDefault="0060441A" w:rsidP="006044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ради.</w:t>
      </w:r>
    </w:p>
    <w:p w:rsidR="0060441A" w:rsidRDefault="0060441A" w:rsidP="0060441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60441A" w:rsidRDefault="0060441A" w:rsidP="0060441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60441A" w:rsidRDefault="0060441A" w:rsidP="0060441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60441A" w:rsidRPr="00E24525" w:rsidRDefault="0060441A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E24525">
        <w:rPr>
          <w:rFonts w:ascii="Times New Roman" w:eastAsia="Batang" w:hAnsi="Times New Roman"/>
          <w:b/>
          <w:sz w:val="28"/>
          <w:szCs w:val="28"/>
          <w:lang w:eastAsia="ru-RU"/>
        </w:rPr>
        <w:t>Міській голова</w:t>
      </w:r>
      <w:r w:rsidRPr="00E24525">
        <w:rPr>
          <w:rFonts w:ascii="Times New Roman" w:eastAsia="Batang" w:hAnsi="Times New Roman"/>
          <w:b/>
          <w:sz w:val="28"/>
          <w:szCs w:val="28"/>
          <w:lang w:eastAsia="ru-RU"/>
        </w:rPr>
        <w:tab/>
        <w:t xml:space="preserve">А.Г.Примаков </w:t>
      </w:r>
    </w:p>
    <w:p w:rsidR="0060441A" w:rsidRPr="00B0111E" w:rsidRDefault="0060441A" w:rsidP="0060441A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8"/>
          <w:lang w:eastAsia="ru-RU"/>
        </w:rPr>
      </w:pPr>
      <w:r w:rsidRPr="00E24525">
        <w:rPr>
          <w:rFonts w:ascii="Times New Roman" w:eastAsia="Batang" w:hAnsi="Times New Roman"/>
          <w:bCs/>
          <w:iCs/>
          <w:szCs w:val="28"/>
          <w:lang w:eastAsia="ru-RU"/>
        </w:rPr>
        <w:br w:type="page"/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lastRenderedPageBreak/>
        <w:t>Додаток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до рішення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24 сесії</w:t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Менської міської ради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7 скликання від </w:t>
      </w:r>
      <w:r w:rsidR="00B358F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17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.12.2018 №</w:t>
      </w:r>
      <w:r w:rsidR="002E7E5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479</w:t>
      </w:r>
      <w:bookmarkStart w:id="1" w:name="_GoBack"/>
      <w:bookmarkEnd w:id="1"/>
      <w:r w:rsidR="00B358F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«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Про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>затвердження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Програми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>організації харчування в закладах дошкільної освіти Менської міської ради на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201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>9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рік»</w:t>
      </w:r>
    </w:p>
    <w:p w:rsidR="0060441A" w:rsidRPr="00B0111E" w:rsidRDefault="0060441A" w:rsidP="00604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41A" w:rsidRPr="00B0111E" w:rsidRDefault="0060441A" w:rsidP="00604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41A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Pr="00A701B8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Pr="007E1290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</w:pPr>
      <w:r w:rsidRPr="00AE69DA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 xml:space="preserve">ПРОГРАМА 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</w:pPr>
      <w:r w:rsidRPr="00AE69DA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організації харчув</w:t>
      </w:r>
      <w:r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ання дітей у</w:t>
      </w:r>
      <w:r w:rsidRPr="00AE69DA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 xml:space="preserve"> </w:t>
      </w:r>
    </w:p>
    <w:p w:rsidR="0060441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</w:pPr>
      <w:r w:rsidRPr="00AE69DA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заклад</w:t>
      </w:r>
      <w:r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 xml:space="preserve">ах дошкільної освіти </w:t>
      </w:r>
    </w:p>
    <w:p w:rsidR="0060441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Менської міської ради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sz w:val="56"/>
          <w:szCs w:val="56"/>
          <w:lang w:eastAsia="ru-RU"/>
        </w:rPr>
      </w:pPr>
      <w:r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 xml:space="preserve"> на 2019</w:t>
      </w:r>
      <w:r w:rsidRPr="00AE69DA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 xml:space="preserve"> рік</w:t>
      </w: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955F70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  <w:r w:rsidRPr="00955F70">
        <w:rPr>
          <w:rFonts w:ascii="Times New Roman" w:eastAsia="Batang" w:hAnsi="Times New Roman"/>
          <w:sz w:val="28"/>
          <w:szCs w:val="28"/>
          <w:lang w:eastAsia="ru-RU"/>
        </w:rPr>
        <w:t>Мена 2018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sz w:val="28"/>
          <w:szCs w:val="28"/>
          <w:lang w:eastAsia="ru-RU"/>
        </w:rPr>
        <w:t>І</w:t>
      </w:r>
      <w:r w:rsidRPr="00AE69DA">
        <w:rPr>
          <w:rFonts w:ascii="Times New Roman" w:eastAsia="Batang" w:hAnsi="Times New Roman"/>
          <w:b/>
          <w:sz w:val="28"/>
          <w:szCs w:val="28"/>
          <w:lang w:eastAsia="ru-RU"/>
        </w:rPr>
        <w:t>. ПАСПОРТ ПРОГРАМИ</w:t>
      </w:r>
    </w:p>
    <w:p w:rsidR="0060441A" w:rsidRPr="00AE69DA" w:rsidRDefault="0060441A" w:rsidP="0060441A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556"/>
        <w:gridCol w:w="5648"/>
      </w:tblGrid>
      <w:tr w:rsidR="0060441A" w:rsidRPr="00AE69DA" w:rsidTr="002E7E51">
        <w:trPr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 програми</w:t>
            </w:r>
          </w:p>
        </w:tc>
        <w:tc>
          <w:tcPr>
            <w:tcW w:w="5648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Програма організації харчування у закладах дошкільної освіти Менської міської ради на 2019 рік</w:t>
            </w:r>
          </w:p>
        </w:tc>
      </w:tr>
      <w:tr w:rsidR="0060441A" w:rsidRPr="00AE69DA" w:rsidTr="002E7E51">
        <w:trPr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648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60441A" w:rsidRPr="00AE69DA" w:rsidTr="002E7E51">
        <w:trPr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648" w:type="dxa"/>
          </w:tcPr>
          <w:p w:rsidR="0060441A" w:rsidRPr="00AE69DA" w:rsidRDefault="0060441A" w:rsidP="00647323">
            <w:pPr>
              <w:spacing w:after="0" w:line="240" w:lineRule="auto"/>
              <w:ind w:firstLine="24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Закони України «Про освіту», «Про дошкільну освіту», «Про охорону дитинства», «Про державну допомогу сім’ям з дітьми»,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областях», </w:t>
            </w: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«Про місцеве самоврядування в Україні,</w:t>
            </w:r>
            <w:r w:rsidRPr="00AE69DA">
              <w:rPr>
                <w:rFonts w:ascii="Times New Roman" w:eastAsia="Batang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«Про внесення змін до деяких законодавчих актів України».</w:t>
            </w: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постанов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и</w:t>
            </w: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 – технічних навчальних закладах, операції з надання яких звільняються від обкладення податком на додану вартість», від 22.11.2004 № 1591 «Про затвердження норм харчування у навчальних та оздоровчих закладах», від 18.01.2016 р. №16 «Про внесення змін до Порядку надання послуг з харчування дітей у дошкільних, учнів у </w:t>
            </w:r>
            <w:r w:rsidRPr="00AE69DA">
              <w:rPr>
                <w:rFonts w:ascii="Times New Roman" w:eastAsia="Batang" w:hAnsi="Times New Roman"/>
                <w:spacing w:val="-1"/>
                <w:sz w:val="28"/>
                <w:szCs w:val="28"/>
                <w:lang w:eastAsia="ru-RU"/>
              </w:rPr>
              <w:t xml:space="preserve">загальноосвітніх та професійно-технічних закладах, операції з надання яких </w:t>
            </w: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звільняються від обкладення податком на додану вартість»</w:t>
            </w:r>
          </w:p>
        </w:tc>
      </w:tr>
      <w:tr w:rsidR="0060441A" w:rsidRPr="00AE69DA" w:rsidTr="002E7E51">
        <w:trPr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648" w:type="dxa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Менської міської ради </w:t>
            </w:r>
          </w:p>
        </w:tc>
      </w:tr>
      <w:tr w:rsidR="0060441A" w:rsidRPr="00AE69DA" w:rsidTr="002E7E51">
        <w:trPr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648" w:type="dxa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60441A" w:rsidRPr="00AE69DA" w:rsidTr="002E7E51">
        <w:trPr>
          <w:trHeight w:val="842"/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648" w:type="dxa"/>
            <w:vAlign w:val="bottom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діл освіти Менської міської ради, 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заклади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дошкільної освіти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фінансове управління Менської міської ради </w:t>
            </w:r>
          </w:p>
        </w:tc>
      </w:tr>
      <w:tr w:rsidR="0060441A" w:rsidRPr="00AE69DA" w:rsidTr="002E7E51">
        <w:trPr>
          <w:trHeight w:val="842"/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Дія Програми</w:t>
            </w:r>
          </w:p>
        </w:tc>
        <w:tc>
          <w:tcPr>
            <w:tcW w:w="5648" w:type="dxa"/>
            <w:vAlign w:val="bottom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Дія програми поширюється на територію населених пунктів, які увійшли до складу Менської об’єднаної територіальної громади</w:t>
            </w:r>
          </w:p>
        </w:tc>
      </w:tr>
      <w:tr w:rsidR="0060441A" w:rsidRPr="00AE69DA" w:rsidTr="002E7E51">
        <w:trPr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Термін реалізації Програми </w:t>
            </w:r>
          </w:p>
        </w:tc>
        <w:tc>
          <w:tcPr>
            <w:tcW w:w="5648" w:type="dxa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рік</w:t>
            </w:r>
          </w:p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441A" w:rsidRPr="00AE69DA" w:rsidTr="002E7E51">
        <w:trPr>
          <w:jc w:val="center"/>
        </w:trPr>
        <w:tc>
          <w:tcPr>
            <w:tcW w:w="700" w:type="dxa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Загальний орієнтовний обсяг фінансових ресурсів, необхідних для реалізації програми, всього:</w:t>
            </w:r>
          </w:p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у тому числі:</w:t>
            </w:r>
          </w:p>
        </w:tc>
        <w:tc>
          <w:tcPr>
            <w:tcW w:w="5648" w:type="dxa"/>
            <w:vAlign w:val="center"/>
          </w:tcPr>
          <w:p w:rsidR="0060441A" w:rsidRPr="00A1423F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42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A142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416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A142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800 грн.</w:t>
            </w:r>
          </w:p>
        </w:tc>
      </w:tr>
      <w:tr w:rsidR="0060441A" w:rsidRPr="00AE69DA" w:rsidTr="002E7E51">
        <w:trPr>
          <w:jc w:val="center"/>
        </w:trPr>
        <w:tc>
          <w:tcPr>
            <w:tcW w:w="700" w:type="dxa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556" w:type="dxa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кошти бюджету міської ОТГ</w:t>
            </w:r>
          </w:p>
        </w:tc>
        <w:tc>
          <w:tcPr>
            <w:tcW w:w="5648" w:type="dxa"/>
          </w:tcPr>
          <w:p w:rsidR="0060441A" w:rsidRPr="00BD697F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69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D69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D69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000 грн.</w:t>
            </w:r>
          </w:p>
        </w:tc>
      </w:tr>
      <w:tr w:rsidR="0060441A" w:rsidRPr="00AE69DA" w:rsidTr="002E7E51">
        <w:trPr>
          <w:jc w:val="center"/>
        </w:trPr>
        <w:tc>
          <w:tcPr>
            <w:tcW w:w="700" w:type="dxa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556" w:type="dxa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</w:t>
            </w:r>
          </w:p>
        </w:tc>
        <w:tc>
          <w:tcPr>
            <w:tcW w:w="5648" w:type="dxa"/>
          </w:tcPr>
          <w:p w:rsidR="0060441A" w:rsidRPr="00A1423F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42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1,416,800грн.</w:t>
            </w:r>
          </w:p>
        </w:tc>
      </w:tr>
    </w:tbl>
    <w:p w:rsidR="0060441A" w:rsidRPr="00AE69DA" w:rsidRDefault="0060441A" w:rsidP="0060441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sz w:val="20"/>
          <w:szCs w:val="20"/>
          <w:lang w:eastAsia="ru-RU"/>
        </w:rPr>
      </w:pPr>
      <w:r w:rsidRPr="00AE69DA">
        <w:rPr>
          <w:rFonts w:ascii="Times New Roman" w:eastAsia="Batang" w:hAnsi="Times New Roman"/>
          <w:sz w:val="20"/>
          <w:szCs w:val="20"/>
          <w:lang w:eastAsia="ru-RU"/>
        </w:rPr>
        <w:br w:type="page"/>
      </w:r>
    </w:p>
    <w:tbl>
      <w:tblPr>
        <w:tblW w:w="5001" w:type="pct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1"/>
      </w:tblGrid>
      <w:tr w:rsidR="0060441A" w:rsidRPr="00AE69DA" w:rsidTr="00647323">
        <w:trPr>
          <w:tblCellSpacing w:w="0" w:type="dxa"/>
        </w:trPr>
        <w:tc>
          <w:tcPr>
            <w:tcW w:w="5000" w:type="pct"/>
          </w:tcPr>
          <w:tbl>
            <w:tblPr>
              <w:tblW w:w="7655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498"/>
            </w:tblGrid>
            <w:tr w:rsidR="0060441A" w:rsidRPr="00AE69DA" w:rsidTr="00647323">
              <w:trPr>
                <w:tblCellSpacing w:w="0" w:type="dxa"/>
              </w:trPr>
              <w:tc>
                <w:tcPr>
                  <w:tcW w:w="5000" w:type="pct"/>
                </w:tcPr>
                <w:p w:rsidR="0060441A" w:rsidRDefault="0060441A" w:rsidP="006473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І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І</w:t>
                  </w: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. Загальні положення</w:t>
                  </w:r>
                </w:p>
                <w:p w:rsidR="0060441A" w:rsidRDefault="0060441A" w:rsidP="0064732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568"/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FF2CDC">
                    <w:rPr>
                      <w:rFonts w:eastAsia="BatangChe"/>
                      <w:sz w:val="28"/>
                      <w:szCs w:val="28"/>
                    </w:rPr>
                    <w:t xml:space="preserve">Дитячий організм відрізняється від дорослого швидким розвитком, формуванням і становленням структури багатьох органів і систем. Раціональний режим харчування, його збалансованість раціону є основними умовами для підвищення опору дитячого організму до захворювань, для нормального росту і розвитку дітей, які виховуються в </w:t>
                  </w:r>
                  <w:r>
                    <w:rPr>
                      <w:rFonts w:eastAsia="BatangChe"/>
                      <w:sz w:val="28"/>
                      <w:szCs w:val="28"/>
                    </w:rPr>
                    <w:t>закладі дошкільної освіти</w:t>
                  </w:r>
                  <w:r w:rsidRPr="00FF2CDC">
                    <w:rPr>
                      <w:rFonts w:eastAsia="BatangChe"/>
                      <w:sz w:val="28"/>
                      <w:szCs w:val="28"/>
                    </w:rPr>
                    <w:t>.</w:t>
                  </w:r>
                  <w:r>
                    <w:rPr>
                      <w:rFonts w:eastAsia="BatangChe"/>
                      <w:sz w:val="28"/>
                      <w:szCs w:val="28"/>
                    </w:rPr>
                    <w:t xml:space="preserve"> </w:t>
                  </w:r>
                  <w:r w:rsidRPr="00E24D3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Здорове харчування має великий вплив на фізичний і розумовий розвиток дитини, її імунітет і працездатність.</w:t>
                  </w:r>
                  <w:r>
                    <w:rPr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Харчування дітей </w:t>
                  </w:r>
                  <w:r w:rsidRPr="00AE69DA">
                    <w:rPr>
                      <w:sz w:val="28"/>
                      <w:szCs w:val="28"/>
                      <w:lang w:eastAsia="ru-RU"/>
                    </w:rPr>
                    <w:t>закладів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дошкільної освіти</w:t>
                  </w:r>
                  <w:r w:rsidRPr="00AE69DA">
                    <w:rPr>
                      <w:sz w:val="28"/>
                      <w:szCs w:val="28"/>
                      <w:lang w:eastAsia="ru-RU"/>
                    </w:rPr>
                    <w:t xml:space="preserve"> здійснюється за місцем навчання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в</w:t>
                  </w:r>
                  <w:r w:rsidRPr="00AE69DA">
                    <w:rPr>
                      <w:rFonts w:eastAsia="Batang"/>
                      <w:sz w:val="28"/>
                      <w:szCs w:val="28"/>
                      <w:lang w:eastAsia="ru-RU"/>
                    </w:rPr>
                    <w:t xml:space="preserve">ідповідно до </w:t>
                  </w:r>
                  <w:r>
                    <w:rPr>
                      <w:rFonts w:eastAsia="Batang"/>
                      <w:sz w:val="28"/>
                      <w:szCs w:val="28"/>
                      <w:lang w:eastAsia="ru-RU"/>
                    </w:rPr>
                    <w:t xml:space="preserve">вимог </w:t>
                  </w:r>
                  <w:r w:rsidRPr="00AE69DA">
                    <w:rPr>
                      <w:rFonts w:eastAsia="Batang"/>
                      <w:sz w:val="28"/>
                      <w:szCs w:val="28"/>
                      <w:lang w:eastAsia="ru-RU"/>
                    </w:rPr>
                    <w:t>Законів України «Про освіту», «Про дошкільну освіту»,  «Про охорону дитинства</w:t>
                  </w:r>
                  <w:r>
                    <w:rPr>
                      <w:rFonts w:eastAsia="Batang"/>
                      <w:sz w:val="28"/>
                      <w:szCs w:val="28"/>
                      <w:lang w:eastAsia="ru-RU"/>
                    </w:rPr>
                    <w:t>» та інших нормативно-правових актів</w:t>
                  </w:r>
                  <w:r w:rsidRPr="00AE69DA">
                    <w:rPr>
                      <w:rFonts w:eastAsia="Batang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>
                    <w:rPr>
                      <w:rFonts w:eastAsia="Batang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Заклади дошкільної освіти Менської міської ради повинні н</w:t>
                  </w:r>
                  <w:r w:rsidRPr="00FF2CDC">
                    <w:rPr>
                      <w:color w:val="000000"/>
                      <w:sz w:val="28"/>
                      <w:szCs w:val="28"/>
                    </w:rPr>
                    <w:t>ада</w:t>
                  </w:r>
                  <w:r>
                    <w:rPr>
                      <w:color w:val="000000"/>
                      <w:sz w:val="28"/>
                      <w:szCs w:val="28"/>
                    </w:rPr>
                    <w:t>вати</w:t>
                  </w:r>
                  <w:r w:rsidRPr="00FF2CDC">
                    <w:rPr>
                      <w:color w:val="000000"/>
                      <w:sz w:val="28"/>
                      <w:szCs w:val="28"/>
                    </w:rPr>
                    <w:t xml:space="preserve"> повноцінне, збалансоване і здорове харчування, що відповідає вимогам </w:t>
                  </w:r>
                  <w:r>
                    <w:rPr>
                      <w:color w:val="000000"/>
                      <w:sz w:val="28"/>
                      <w:szCs w:val="28"/>
                    </w:rPr>
                    <w:t>усіх нормативно правових актів, з</w:t>
                  </w:r>
                  <w:r w:rsidRPr="00FF2CDC">
                    <w:rPr>
                      <w:color w:val="000000"/>
                      <w:sz w:val="28"/>
                      <w:szCs w:val="28"/>
                    </w:rPr>
                    <w:t>абезпечу</w:t>
                  </w:r>
                  <w:r>
                    <w:rPr>
                      <w:color w:val="000000"/>
                      <w:sz w:val="28"/>
                      <w:szCs w:val="28"/>
                    </w:rPr>
                    <w:t>вати таким</w:t>
                  </w:r>
                  <w:r w:rsidRPr="00FF2CDC">
                    <w:rPr>
                      <w:color w:val="000000"/>
                      <w:sz w:val="28"/>
                      <w:szCs w:val="28"/>
                    </w:rPr>
                    <w:t xml:space="preserve"> меню, що складається з урахуванням рекомендованих груп продуктів харчування і рекомендованих для дитини добових норм поживних речовин і енергії.</w:t>
                  </w:r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Усі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продукти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харчування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які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потрапляють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до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закладів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дошкільної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освіти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повинні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відповіда</w:t>
                  </w: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ти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умовам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державних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стандартів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та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супроводжу</w:t>
                  </w: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ватись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документацією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(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накладні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сертифікати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) з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висновками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щодо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їх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якості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терміну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реалізації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кількості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.</w:t>
                  </w:r>
                </w:p>
                <w:p w:rsidR="0060441A" w:rsidRPr="00FF2CDC" w:rsidRDefault="0060441A" w:rsidP="0064732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568"/>
                    <w:jc w:val="both"/>
                    <w:rPr>
                      <w:rFonts w:ascii="Arial" w:hAnsi="Arial" w:cs="Arial"/>
                      <w:color w:val="3A3939"/>
                      <w:sz w:val="28"/>
                      <w:szCs w:val="28"/>
                    </w:rPr>
                  </w:pP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Основна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увага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при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організації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харчування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в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дитячих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садках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приділяється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безпеці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їжі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: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екологічності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продуктів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безпечному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технологічному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процесу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належній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подачі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страви.</w:t>
                  </w:r>
                </w:p>
                <w:p w:rsidR="0060441A" w:rsidRPr="00AE69DA" w:rsidRDefault="0060441A" w:rsidP="00647323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441A" w:rsidRPr="00AE69DA" w:rsidRDefault="0060441A" w:rsidP="00647323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І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ІІ. Мета П</w:t>
                  </w: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рограми</w:t>
                  </w:r>
                </w:p>
                <w:p w:rsidR="0060441A" w:rsidRPr="00AE69DA" w:rsidRDefault="0060441A" w:rsidP="00647323">
                  <w:pPr>
                    <w:spacing w:after="0" w:line="240" w:lineRule="auto"/>
                    <w:ind w:firstLine="568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Основна мета Програми - це створення умов для збереження здоров’я дітей,  підвищення рівня організації  харчування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, забезпечення дітей ЗДО</w:t>
                  </w: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якісним харчуванням.</w:t>
                  </w:r>
                </w:p>
                <w:p w:rsidR="0060441A" w:rsidRPr="00AE69DA" w:rsidRDefault="0060441A" w:rsidP="006473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441A" w:rsidRPr="00AE69DA" w:rsidRDefault="0060441A" w:rsidP="006473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І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. Завдання П</w:t>
                  </w: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рограми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створення єдиної системи  харчування;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удосконалення управління системою організації харчування, оптимізації витрат на її функціонування;  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створення умов для  харчування дітей;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охоплен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ня гарячим харчуванням дітей ЗДО</w:t>
                  </w: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60441A" w:rsidRPr="008E4A3B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забезпечення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безкоштовним </w:t>
                  </w: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гарячим харчуванням дітей пільгових категорій</w:t>
                  </w:r>
                  <w:r w:rsidRPr="00FF2CDC"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F2CD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(дітей – сиріт, дітей, позбавлених батьківського піклування, дітей з сімей, які отримують допомогу відповідно до статті 19 Закону України «Про державну допомогу сім’ям з дітьми», дітей учасників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бойових дій (</w:t>
                  </w:r>
                  <w:r w:rsidRPr="00FF2CD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АТО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, ООС),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дітей, батьки яких загинули під час виконання службових обов’язків в зоні проведення антитерористичної операції та в зоні проведення операції об’єднаних сил, дітей з інвалідністю, дітей постраждалих внаслідок аварії на ЧАЕС, у виняткових випадках (в разі, якщо сім’я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 та заяви одного з батьків, за пропозицією відділу освіти Менської міської ради до виконавчого комітету).</w:t>
                  </w:r>
                </w:p>
                <w:p w:rsidR="0060441A" w:rsidRPr="00FF2CDC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забезпечення гарячим харчуванням з оплатою у розмірі 50% від вартості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дітодня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для дітей з багатодітних сімей, що відвідують заклади дошкільної освіти Менської міської ради</w:t>
                  </w:r>
                  <w:r w:rsidRPr="00FF2CD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60441A" w:rsidRPr="00AE69DA" w:rsidRDefault="0060441A" w:rsidP="00647323">
                  <w:p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0441A" w:rsidRPr="00A1423F" w:rsidRDefault="0060441A" w:rsidP="0064732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val="en-US" w:eastAsia="ru-RU"/>
                    </w:rPr>
                    <w:t>V</w:t>
                  </w:r>
                  <w:r w:rsidRPr="008E4A3B"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AE69DA"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>Реалізація Програми</w:t>
                  </w:r>
                </w:p>
                <w:p w:rsidR="0060441A" w:rsidRPr="00A1423F" w:rsidRDefault="0060441A" w:rsidP="00647323">
                  <w:pPr>
                    <w:spacing w:after="0" w:line="240" w:lineRule="auto"/>
                    <w:ind w:firstLine="568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Програма організації харчування у закладах дошкільної освіти Менської міської ради на 2019 рік передбачає </w:t>
                  </w:r>
                  <w:r w:rsidRPr="00A1423F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забезпечення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якісним </w:t>
                  </w:r>
                  <w:r w:rsidRPr="00A1423F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харчуванням дітей всіх закладів дошкільної освіти Менської міської ради,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надання пільг при оплаті за харчування окремим категоріям дітей</w:t>
                  </w:r>
                  <w:r w:rsidRPr="00A1423F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Дана програма</w:t>
                  </w:r>
                  <w:r w:rsidRPr="00A1423F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необхідна для забезпечення раціонального та ефективного використання бюджетних коштів.</w:t>
                  </w:r>
                </w:p>
                <w:p w:rsidR="0060441A" w:rsidRPr="00A1423F" w:rsidRDefault="0060441A" w:rsidP="006473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0441A" w:rsidRPr="00A1423F" w:rsidRDefault="0060441A" w:rsidP="006473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1423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VІ. Фінансування Програми</w:t>
                  </w:r>
                </w:p>
                <w:p w:rsidR="0060441A" w:rsidRPr="00A1423F" w:rsidRDefault="0060441A" w:rsidP="00B358F1">
                  <w:pPr>
                    <w:tabs>
                      <w:tab w:val="left" w:pos="69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 1. Кошти бюджету Менської ОТГ для харчування: </w:t>
                  </w:r>
                  <w:r w:rsidR="00B358F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A1423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2,000,000 грн.</w:t>
                  </w:r>
                </w:p>
                <w:tbl>
                  <w:tblPr>
                    <w:tblW w:w="9498" w:type="dxa"/>
                    <w:tblLook w:val="01E0" w:firstRow="1" w:lastRow="1" w:firstColumn="1" w:lastColumn="1" w:noHBand="0" w:noVBand="0"/>
                  </w:tblPr>
                  <w:tblGrid>
                    <w:gridCol w:w="9498"/>
                  </w:tblGrid>
                  <w:tr w:rsidR="0060441A" w:rsidRPr="00A1423F" w:rsidTr="00647323">
                    <w:trPr>
                      <w:trHeight w:val="71"/>
                    </w:trPr>
                    <w:tc>
                      <w:tcPr>
                        <w:tcW w:w="9498" w:type="dxa"/>
                      </w:tcPr>
                      <w:p w:rsidR="0060441A" w:rsidRPr="00A1423F" w:rsidRDefault="0060441A" w:rsidP="006473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 безкоштовне харчування дітей ЗДО пільгових категорій (дітей – сиріт, дітей, позбавлених батьківського піклування, дітей з сімей, які отримують допомогу відповідно до статті 19 Закону України «Про державну допомогу сім’ям з дітьми», дітей учасників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бойових дій (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АТО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,ООС)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дітей, батьки яких загинули під час виконання службових обов’язків в зоні проведення антитерористичної операції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та зоні проведення операції об’єднаних сил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дітей з інвалідністю, дітей постраждалих внаслідок аварії на ЧАЕС, у виняткових випадках (в разі, якщо сім’я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 та заяви одного з батьків, за пропозицією відділу освіти Менської міської ради до виконавчого комітету)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0441A" w:rsidRPr="00A1423F" w:rsidRDefault="0060441A" w:rsidP="006473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 оплата 50%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віл вартості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дітодня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за 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дітей з багатодітних сімей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, що відвідують заклади дошкільної освіти Менської міської ради</w:t>
                        </w:r>
                      </w:p>
                    </w:tc>
                  </w:tr>
                </w:tbl>
                <w:p w:rsidR="0060441A" w:rsidRPr="00AE69DA" w:rsidRDefault="0060441A" w:rsidP="00B358F1">
                  <w:pPr>
                    <w:tabs>
                      <w:tab w:val="left" w:pos="69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2. Кошти спеціального фонду</w:t>
                  </w: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B358F1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  <w:r w:rsidRPr="00A1423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,416,800</w:t>
                  </w:r>
                  <w:r w:rsidRPr="00A1423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грн</w:t>
                  </w:r>
                  <w:r w:rsidRPr="00513478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0441A" w:rsidRPr="00AE69DA" w:rsidRDefault="0060441A" w:rsidP="00647323">
                  <w:pPr>
                    <w:spacing w:after="0" w:line="240" w:lineRule="auto"/>
                    <w:ind w:left="38" w:firstLine="682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441A" w:rsidRDefault="0060441A" w:rsidP="00647323">
                  <w:pPr>
                    <w:spacing w:after="0" w:line="240" w:lineRule="auto"/>
                    <w:ind w:left="38" w:firstLine="682"/>
                    <w:jc w:val="both"/>
                    <w:rPr>
                      <w:rFonts w:ascii="Times New Roman" w:eastAsia="Batang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Фінансування програми здійснюється за рахунок коштів бюджету Менської ОТГ та інших джерел не заборонених законодавством. При цьому обсяг коштів визначається під час формування бюджету з урахуванням його фінансових можливостей та може змінюватися в процесі виконання бюджету при внесенні змін до нього.         </w:t>
                  </w:r>
                </w:p>
                <w:p w:rsidR="0060441A" w:rsidRPr="00AE69DA" w:rsidRDefault="0060441A" w:rsidP="00647323">
                  <w:pPr>
                    <w:spacing w:after="0" w:line="240" w:lineRule="auto"/>
                    <w:ind w:left="38" w:firstLine="682"/>
                    <w:jc w:val="both"/>
                    <w:rPr>
                      <w:rFonts w:ascii="Times New Roman" w:eastAsia="Batang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441A" w:rsidRPr="00AE69DA" w:rsidRDefault="0060441A" w:rsidP="00647323">
                  <w:pPr>
                    <w:tabs>
                      <w:tab w:val="left" w:pos="30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VІ. </w:t>
                  </w:r>
                  <w:r w:rsidRPr="00AE69DA"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>Очікуванні результати</w:t>
                  </w:r>
                  <w:r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 xml:space="preserve"> від реалізації П</w:t>
                  </w:r>
                  <w:r w:rsidRPr="00AE69DA"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>рограми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створення єдиної системи харчування;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забезпечення бе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зкоштовним харчуванням в закладах дошкільної освіти дітей пільгових категорій</w:t>
                  </w: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(дітей – сиріт, дітей, позбавлених батьківського піклування, дітей з сімей, які отримують допомогу відповідно до статті 19 Закону України «Про державну допомогу сім’ям з дітьми», дітей учасників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бойових дій (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АТО,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ООС),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</w:rPr>
                    <w:t xml:space="preserve"> дітей, батьки яких загинули під час виконання службових обов’язків в зоні проведення антитерористичної операції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 зоні проведення операції об’єднаних сил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дітей з інвалідністю, дітей постраждалих внаслідок аварії на ЧАЕС,  у виняткових випадках (в разі, якщо сім’я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 та заяви одного з батьків, за пропозицією відділу освіти Менської міської ради до виконавчого комітету)</w:t>
                  </w:r>
                  <w:r w:rsidRPr="00AE69D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створення умов, що сприяють зміцненню здоров`я дітей дошкільного віку, їх гармонійному розвитку;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забезпечення якісним харчуванням дітей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дошкільного віку в закладах дошкільної освіти Менської міської ради</w:t>
                  </w: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(відповідно до чинного законодавства); 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поліпшення якості харчування;</w:t>
                  </w:r>
                </w:p>
                <w:p w:rsidR="0060441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формування навичок правильного та здорового харчування</w:t>
                  </w:r>
                </w:p>
                <w:p w:rsidR="0060441A" w:rsidRPr="007E1290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08042C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впровадження нових технологій в організації харчування.</w:t>
                  </w:r>
                </w:p>
                <w:p w:rsidR="0060441A" w:rsidRPr="0008042C" w:rsidRDefault="0060441A" w:rsidP="00647323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</w:p>
                <w:p w:rsidR="0060441A" w:rsidRPr="00AE69DA" w:rsidRDefault="0060441A" w:rsidP="00647323">
                  <w:pPr>
                    <w:tabs>
                      <w:tab w:val="left" w:pos="9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ІІ</w:t>
                  </w: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BB332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Управління та контроль за ходом виконання Програми</w:t>
                  </w:r>
                </w:p>
                <w:p w:rsidR="0060441A" w:rsidRPr="00AE69DA" w:rsidRDefault="0060441A" w:rsidP="006473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332A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Головним виконавцем Програми є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uk-UA"/>
                    </w:rPr>
                    <w:t>відділ освіти</w:t>
                  </w:r>
                  <w:r w:rsidRPr="00BB332A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Менської міської ради. Контроль за її виконанням здійснює виконавчий комітет міської ради.</w:t>
                  </w:r>
                </w:p>
                <w:p w:rsidR="0060441A" w:rsidRPr="00AE69DA" w:rsidRDefault="0060441A" w:rsidP="00647323">
                  <w:p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0441A" w:rsidRPr="00AE69DA" w:rsidTr="00647323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60441A" w:rsidRPr="00AE69DA" w:rsidRDefault="0060441A" w:rsidP="006473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5430" w:rsidRDefault="00785430" w:rsidP="00B358F1"/>
    <w:sectPr w:rsidR="00785430" w:rsidSect="007854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BC3"/>
    <w:multiLevelType w:val="hybridMultilevel"/>
    <w:tmpl w:val="3FD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8036BA"/>
    <w:multiLevelType w:val="hybridMultilevel"/>
    <w:tmpl w:val="6430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41A"/>
    <w:rsid w:val="002E7E51"/>
    <w:rsid w:val="0060441A"/>
    <w:rsid w:val="00785430"/>
    <w:rsid w:val="00B3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D201"/>
  <w15:docId w15:val="{E528211D-2358-4455-AF71-F4B68C25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441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6804</Words>
  <Characters>3879</Characters>
  <Application>Microsoft Office Word</Application>
  <DocSecurity>0</DocSecurity>
  <Lines>32</Lines>
  <Paragraphs>21</Paragraphs>
  <ScaleCrop>false</ScaleCrop>
  <Company>Microsoft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Iurii Stalnychenko</cp:lastModifiedBy>
  <cp:revision>3</cp:revision>
  <dcterms:created xsi:type="dcterms:W3CDTF">2018-12-07T07:23:00Z</dcterms:created>
  <dcterms:modified xsi:type="dcterms:W3CDTF">2018-12-19T16:05:00Z</dcterms:modified>
</cp:coreProperties>
</file>